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CA174B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CA174B">
        <w:rPr>
          <w:b/>
          <w:color w:val="000000"/>
          <w:szCs w:val="28"/>
        </w:rPr>
        <w:t xml:space="preserve">ТЕРРИТОРИАЛЬНАЯ </w:t>
      </w:r>
      <w:r w:rsidR="008022C6" w:rsidRPr="00CA174B">
        <w:rPr>
          <w:b/>
          <w:color w:val="000000"/>
          <w:szCs w:val="28"/>
        </w:rPr>
        <w:t xml:space="preserve"> </w:t>
      </w:r>
      <w:r w:rsidRPr="00CA174B">
        <w:rPr>
          <w:b/>
          <w:bCs/>
          <w:szCs w:val="28"/>
        </w:rPr>
        <w:t xml:space="preserve"> ИЗБИРАТЕЛЬНАЯ </w:t>
      </w:r>
      <w:r w:rsidR="008022C6" w:rsidRPr="00CA174B">
        <w:rPr>
          <w:b/>
          <w:bCs/>
          <w:szCs w:val="28"/>
        </w:rPr>
        <w:t xml:space="preserve"> </w:t>
      </w:r>
      <w:r w:rsidRPr="00CA174B">
        <w:rPr>
          <w:b/>
          <w:bCs/>
          <w:szCs w:val="28"/>
        </w:rPr>
        <w:t xml:space="preserve"> КОМИССИЯ</w:t>
      </w:r>
    </w:p>
    <w:p w:rsidR="00562D92" w:rsidRPr="00CA174B" w:rsidRDefault="00562D92" w:rsidP="00562D92">
      <w:pPr>
        <w:rPr>
          <w:b/>
          <w:szCs w:val="28"/>
        </w:rPr>
      </w:pPr>
      <w:r w:rsidRPr="00CA174B">
        <w:rPr>
          <w:b/>
          <w:szCs w:val="28"/>
        </w:rPr>
        <w:t xml:space="preserve"> ПОДПОРОЖСКОГО</w:t>
      </w:r>
      <w:r w:rsidR="008022C6" w:rsidRPr="00CA174B">
        <w:rPr>
          <w:b/>
          <w:szCs w:val="28"/>
        </w:rPr>
        <w:t xml:space="preserve"> </w:t>
      </w:r>
      <w:r w:rsidRPr="00CA174B">
        <w:rPr>
          <w:b/>
          <w:szCs w:val="28"/>
        </w:rPr>
        <w:t xml:space="preserve">  </w:t>
      </w:r>
      <w:proofErr w:type="gramStart"/>
      <w:r w:rsidRPr="00CA174B">
        <w:rPr>
          <w:b/>
          <w:szCs w:val="28"/>
        </w:rPr>
        <w:t>МУНИЦИПАЛЬНОГО  РАЙОНА</w:t>
      </w:r>
      <w:proofErr w:type="gramEnd"/>
      <w:r w:rsidRPr="00CA174B">
        <w:rPr>
          <w:b/>
          <w:szCs w:val="28"/>
        </w:rPr>
        <w:t xml:space="preserve"> </w:t>
      </w:r>
    </w:p>
    <w:p w:rsidR="005C4C6E" w:rsidRDefault="005C4C6E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E93B88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E93B88">
                    <w:rPr>
                      <w:color w:val="000000"/>
                      <w:szCs w:val="28"/>
                    </w:rPr>
                    <w:t xml:space="preserve">от  </w:t>
                  </w:r>
                  <w:r w:rsidR="00CA174B" w:rsidRPr="00E93B88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CA174B" w:rsidRPr="00E93B88">
                    <w:rPr>
                      <w:color w:val="000000"/>
                      <w:szCs w:val="28"/>
                    </w:rPr>
                    <w:t xml:space="preserve"> апреля 2026</w:t>
                  </w:r>
                  <w:r w:rsidRPr="00E93B88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E93B88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E93B88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E93B88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E93B88" w:rsidRDefault="00562D92" w:rsidP="00CA174B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E93B88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E93B88">
                    <w:rPr>
                      <w:color w:val="000000"/>
                      <w:szCs w:val="28"/>
                    </w:rPr>
                    <w:t xml:space="preserve">№ </w:t>
                  </w:r>
                  <w:r w:rsidR="00CA174B" w:rsidRPr="00E93B88">
                    <w:rPr>
                      <w:color w:val="000000"/>
                      <w:szCs w:val="28"/>
                    </w:rPr>
                    <w:t>6</w:t>
                  </w:r>
                  <w:r w:rsidRPr="00E93B88">
                    <w:rPr>
                      <w:color w:val="000000"/>
                      <w:szCs w:val="28"/>
                    </w:rPr>
                    <w:t>/</w:t>
                  </w:r>
                  <w:r w:rsidR="00CA174B" w:rsidRPr="00E93B88">
                    <w:rPr>
                      <w:color w:val="000000"/>
                      <w:szCs w:val="28"/>
                    </w:rPr>
                    <w:t>28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назначении члена участковой избирательной  комиссии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36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выбывшего</w:t>
            </w:r>
          </w:p>
          <w:p w:rsidR="009107B0" w:rsidRDefault="009107B0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E93B88" w:rsidRDefault="00E93B88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  <w:p w:rsidR="00E93B88" w:rsidRPr="00E93B88" w:rsidRDefault="00E93B88" w:rsidP="00040D3A">
            <w:pPr>
              <w:rPr>
                <w:b/>
                <w:bCs/>
                <w:color w:val="000000"/>
                <w:sz w:val="6"/>
                <w:szCs w:val="6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540EFD">
        <w:rPr>
          <w:color w:val="000000"/>
          <w:szCs w:val="28"/>
        </w:rPr>
        <w:t>36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№26-оз «О системе избирательных комиссий и избирательных участках в Ленинградской области»</w:t>
      </w:r>
      <w:r w:rsidR="00AF4CB8" w:rsidRPr="00AF4CB8">
        <w:rPr>
          <w:color w:val="000000"/>
          <w:szCs w:val="28"/>
        </w:rPr>
        <w:t xml:space="preserve">, постановлением Избирательной комиссии Ленинградской области от </w:t>
      </w:r>
      <w:r w:rsidR="00CC1922">
        <w:rPr>
          <w:color w:val="000000"/>
          <w:szCs w:val="28"/>
        </w:rPr>
        <w:t>30 мая</w:t>
      </w:r>
      <w:r w:rsidR="00AF4CB8" w:rsidRPr="00AF4CB8">
        <w:rPr>
          <w:color w:val="000000"/>
          <w:szCs w:val="28"/>
        </w:rPr>
        <w:t xml:space="preserve"> 2023 № </w:t>
      </w:r>
      <w:r w:rsidR="00CC1922">
        <w:rPr>
          <w:color w:val="000000"/>
          <w:szCs w:val="28"/>
        </w:rPr>
        <w:t>37/148</w:t>
      </w:r>
      <w:bookmarkStart w:id="0" w:name="_GoBack"/>
      <w:bookmarkEnd w:id="0"/>
      <w:r w:rsidR="00AF4CB8" w:rsidRPr="00AF4CB8">
        <w:rPr>
          <w:color w:val="000000"/>
          <w:szCs w:val="28"/>
        </w:rPr>
        <w:t xml:space="preserve"> «О кандидатурах,  зачисленных   в резерв составов участковых  комиссии Ленинградской области»</w:t>
      </w:r>
      <w:r w:rsidR="008338A6" w:rsidRPr="00AF4CB8">
        <w:rPr>
          <w:szCs w:val="28"/>
        </w:rPr>
        <w:t>,</w:t>
      </w:r>
      <w:r w:rsidRPr="00AF4CB8">
        <w:rPr>
          <w:szCs w:val="28"/>
        </w:rPr>
        <w:t xml:space="preserve">  </w:t>
      </w:r>
      <w:r w:rsidRPr="00AF4CB8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AF4CB8" w:rsidRDefault="001229FE" w:rsidP="00E93B88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5C4C6E" w:rsidRPr="005C4C6E">
        <w:rPr>
          <w:szCs w:val="28"/>
        </w:rPr>
        <w:t>736</w:t>
      </w:r>
      <w:r w:rsidR="00AF4CB8" w:rsidRPr="005C4C6E">
        <w:rPr>
          <w:b/>
          <w:szCs w:val="28"/>
        </w:rPr>
        <w:t xml:space="preserve">  </w:t>
      </w:r>
      <w:r w:rsidR="005C4C6E" w:rsidRPr="005C4C6E">
        <w:rPr>
          <w:b/>
          <w:szCs w:val="28"/>
        </w:rPr>
        <w:t>Благую</w:t>
      </w:r>
      <w:proofErr w:type="gramEnd"/>
      <w:r w:rsidR="005C4C6E" w:rsidRPr="005C4C6E">
        <w:rPr>
          <w:b/>
          <w:szCs w:val="28"/>
        </w:rPr>
        <w:t xml:space="preserve"> Нину Сергеевну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5C4C6E">
        <w:rPr>
          <w:szCs w:val="28"/>
        </w:rPr>
        <w:t>84</w:t>
      </w:r>
      <w:r w:rsidR="00AF4CB8" w:rsidRPr="00AF4CB8">
        <w:rPr>
          <w:szCs w:val="28"/>
        </w:rPr>
        <w:t xml:space="preserve"> года рождения,  выдвинутой</w:t>
      </w:r>
      <w:r w:rsidR="00AF4CB8" w:rsidRPr="00AF4CB8">
        <w:rPr>
          <w:rFonts w:eastAsia="BatangChe"/>
          <w:szCs w:val="28"/>
        </w:rPr>
        <w:t xml:space="preserve"> </w:t>
      </w:r>
      <w:r w:rsidR="00AF4CB8">
        <w:rPr>
          <w:szCs w:val="28"/>
        </w:rPr>
        <w:t>политической партией</w:t>
      </w:r>
      <w:r w:rsidR="00AF4CB8" w:rsidRPr="00AF4CB8">
        <w:rPr>
          <w:szCs w:val="28"/>
        </w:rPr>
        <w:t xml:space="preserve"> –                              </w:t>
      </w:r>
      <w:proofErr w:type="spellStart"/>
      <w:r w:rsidR="00AF4CB8" w:rsidRPr="00AF4CB8">
        <w:rPr>
          <w:color w:val="000000"/>
          <w:szCs w:val="28"/>
        </w:rPr>
        <w:t>Подпорожское</w:t>
      </w:r>
      <w:proofErr w:type="spellEnd"/>
      <w:r w:rsidR="00AF4CB8" w:rsidRPr="00AF4CB8">
        <w:rPr>
          <w:color w:val="000000"/>
          <w:szCs w:val="28"/>
        </w:rPr>
        <w:t xml:space="preserve"> местное отделение Всероссийской политической партии «ЕДИНАЯ РОССИЯ».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736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P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CA174B" w:rsidRDefault="00CA174B" w:rsidP="001229FE">
      <w:pPr>
        <w:jc w:val="both"/>
        <w:rPr>
          <w:rFonts w:eastAsiaTheme="minorEastAsia"/>
          <w:sz w:val="10"/>
          <w:szCs w:val="10"/>
        </w:rPr>
      </w:pPr>
    </w:p>
    <w:p w:rsidR="00CA174B" w:rsidRPr="008022C6" w:rsidRDefault="00CA174B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6A59"/>
    <w:rsid w:val="000A7FEB"/>
    <w:rsid w:val="001229FE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40EFD"/>
    <w:rsid w:val="00562D92"/>
    <w:rsid w:val="005C4C6E"/>
    <w:rsid w:val="00602DD7"/>
    <w:rsid w:val="00621B16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A174B"/>
    <w:rsid w:val="00CC1922"/>
    <w:rsid w:val="00CC7FDA"/>
    <w:rsid w:val="00D839E9"/>
    <w:rsid w:val="00DA4B89"/>
    <w:rsid w:val="00E93B88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F229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2026-04-09T12:41:00Z</cp:lastPrinted>
  <dcterms:created xsi:type="dcterms:W3CDTF">2026-02-26T13:41:00Z</dcterms:created>
  <dcterms:modified xsi:type="dcterms:W3CDTF">2026-04-09T14:53:00Z</dcterms:modified>
</cp:coreProperties>
</file>